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184" w:rsidRPr="00221184" w:rsidRDefault="00221184" w:rsidP="00221184">
      <w:pPr>
        <w:rPr>
          <w:b/>
          <w:bCs/>
        </w:rPr>
      </w:pPr>
      <w:r w:rsidRPr="00221184">
        <w:rPr>
          <w:b/>
          <w:bCs/>
        </w:rPr>
        <w:t>НЕОБСЛУЖВАНИ ЗАЕМИ КЪМ СЕКТОР "ДЪРЖАВНО УПРАВЛЕНИЕ"</w:t>
      </w:r>
    </w:p>
    <w:p w:rsidR="00221184" w:rsidRPr="00221184" w:rsidRDefault="00221184" w:rsidP="00221184">
      <w:bookmarkStart w:id="0" w:name="_GoBack"/>
      <w:bookmarkEnd w:id="0"/>
    </w:p>
    <w:tbl>
      <w:tblPr>
        <w:tblW w:w="0" w:type="auto"/>
        <w:jc w:val="center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878"/>
        <w:gridCol w:w="2831"/>
        <w:gridCol w:w="5423"/>
      </w:tblGrid>
      <w:tr w:rsidR="00221184" w:rsidRPr="00221184" w:rsidTr="00221184">
        <w:trPr>
          <w:trHeight w:val="601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>Номер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>Понятия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>Описание</w:t>
            </w:r>
          </w:p>
        </w:tc>
      </w:tr>
      <w:tr w:rsidR="00221184" w:rsidRPr="00221184" w:rsidTr="00221184">
        <w:trPr>
          <w:trHeight w:val="307"/>
          <w:tblHeader/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</w:p>
        </w:tc>
      </w:tr>
      <w:tr w:rsidR="00221184" w:rsidRPr="00221184" w:rsidTr="00221184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>Описание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 xml:space="preserve">Данните за необслужваните заеми на всички сектори към сектор "Държавно управление" се получават от оборотните ведомости на бюджетните единици, както и подробна информация по отделни </w:t>
            </w:r>
            <w:proofErr w:type="spellStart"/>
            <w:r w:rsidRPr="00221184">
              <w:t>длъжници</w:t>
            </w:r>
            <w:proofErr w:type="spellEnd"/>
            <w:r w:rsidRPr="00221184">
              <w:t>, получавана от Министерство на финансите.</w:t>
            </w:r>
          </w:p>
        </w:tc>
      </w:tr>
      <w:tr w:rsidR="00221184" w:rsidRPr="00221184" w:rsidTr="00221184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2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>Използвани класификации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• Система от национални сметки 2008 (СНС 2008)</w:t>
            </w:r>
            <w:r w:rsidRPr="00221184">
              <w:br/>
              <w:t>• Европейска система от национални и регионални сметки 2010 (ЕСС 2010)</w:t>
            </w:r>
          </w:p>
        </w:tc>
      </w:tr>
      <w:tr w:rsidR="00221184" w:rsidRPr="00221184" w:rsidTr="00221184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3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>Обхват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На основание член 3(2) от Директива 2011/85 на ЕС държавите-членки на ЕС следва да публикуват годишни данни за необслужваните заеми на всички сектори към сектор "Държавно управление" и неговите подсектори. Съгласно Системата от национални сметки (СНС) 2008 един заем е необслужван, когато плащането на лихва или главница по него е със закъснение над 90 дни. Съгласно ЕСС 2010 сектор "Държавно управление" се състои от три подсектора - подсектор "Централно държавно управление"; подсектор "Местно управление" и подсектор "</w:t>
            </w:r>
            <w:proofErr w:type="spellStart"/>
            <w:r w:rsidRPr="00221184">
              <w:t>Социалноосигурителни</w:t>
            </w:r>
            <w:proofErr w:type="spellEnd"/>
            <w:r w:rsidRPr="00221184">
              <w:t xml:space="preserve"> фондове".</w:t>
            </w:r>
          </w:p>
        </w:tc>
      </w:tr>
      <w:tr w:rsidR="00221184" w:rsidRPr="00221184" w:rsidTr="00221184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4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 xml:space="preserve">Единици на </w:t>
            </w:r>
            <w:proofErr w:type="spellStart"/>
            <w:r w:rsidRPr="00221184">
              <w:rPr>
                <w:b/>
                <w:bCs/>
              </w:rPr>
              <w:t>измерванe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млн.лв.</w:t>
            </w:r>
            <w:r w:rsidRPr="00221184">
              <w:br/>
              <w:t>% от БВП</w:t>
            </w:r>
          </w:p>
        </w:tc>
      </w:tr>
      <w:tr w:rsidR="00221184" w:rsidRPr="00221184" w:rsidTr="00221184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>Период, за който се отнасят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годишни данни</w:t>
            </w:r>
          </w:p>
        </w:tc>
      </w:tr>
      <w:tr w:rsidR="00221184" w:rsidRPr="00221184" w:rsidTr="00221184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>Период, за който има налични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2013 г.</w:t>
            </w:r>
          </w:p>
        </w:tc>
      </w:tr>
      <w:tr w:rsidR="00221184" w:rsidRPr="00221184" w:rsidTr="00221184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7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>Нормативни изисквания и правила (национални и Европейски)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Директива 2011/85 на ЕС за бюджетните рамки на държавите-членки на ЕС; Закон за публичните финанси на Р България</w:t>
            </w:r>
          </w:p>
        </w:tc>
      </w:tr>
      <w:tr w:rsidR="00221184" w:rsidRPr="00221184" w:rsidTr="00221184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 xml:space="preserve">Срокове на </w:t>
            </w:r>
            <w:r w:rsidRPr="00221184">
              <w:rPr>
                <w:b/>
                <w:bCs/>
              </w:rPr>
              <w:lastRenderedPageBreak/>
              <w:t>разпространение на информацията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lastRenderedPageBreak/>
              <w:t>м. октомври 2014 година</w:t>
            </w:r>
          </w:p>
        </w:tc>
      </w:tr>
      <w:tr w:rsidR="00221184" w:rsidRPr="00221184" w:rsidTr="00221184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>Начини на разпространение на информацията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 xml:space="preserve">• Интернет страница </w:t>
            </w:r>
            <w:hyperlink r:id="rId6" w:history="1">
              <w:r w:rsidRPr="00221184">
                <w:rPr>
                  <w:rStyle w:val="Hyperlink"/>
                </w:rPr>
                <w:t>www.nsi.bg</w:t>
              </w:r>
            </w:hyperlink>
          </w:p>
        </w:tc>
      </w:tr>
      <w:tr w:rsidR="00221184" w:rsidRPr="00221184" w:rsidTr="00221184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10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>Методологични документи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• Система от национални сметки 2008 (СНС 2008)</w:t>
            </w:r>
            <w:r w:rsidRPr="00221184">
              <w:br/>
              <w:t>• Европейска система от национални и регионални сметки 2010 (ЕСС 2010)</w:t>
            </w:r>
          </w:p>
        </w:tc>
      </w:tr>
      <w:tr w:rsidR="00221184" w:rsidRPr="00221184" w:rsidTr="00221184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11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>Източници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Основни източници на данни за разработване на данните са:</w:t>
            </w:r>
            <w:r w:rsidRPr="00221184">
              <w:br/>
              <w:t>• оборотни ведомости на бюджетните единици</w:t>
            </w:r>
            <w:r w:rsidRPr="00221184">
              <w:br/>
              <w:t xml:space="preserve">• подробна информация от Министерство на финансите по отделни </w:t>
            </w:r>
            <w:proofErr w:type="spellStart"/>
            <w:r w:rsidRPr="00221184">
              <w:t>длъжници</w:t>
            </w:r>
            <w:proofErr w:type="spellEnd"/>
            <w:r w:rsidRPr="00221184">
              <w:t>.</w:t>
            </w:r>
          </w:p>
        </w:tc>
      </w:tr>
      <w:tr w:rsidR="00221184" w:rsidRPr="00221184" w:rsidTr="00221184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12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>Честота на събиране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годишно</w:t>
            </w:r>
          </w:p>
        </w:tc>
      </w:tr>
      <w:tr w:rsidR="00221184" w:rsidRPr="00221184" w:rsidTr="00221184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13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pPr>
              <w:rPr>
                <w:b/>
                <w:bCs/>
              </w:rPr>
            </w:pPr>
            <w:r w:rsidRPr="00221184">
              <w:rPr>
                <w:b/>
                <w:bCs/>
              </w:rPr>
              <w:t>Начин за събиране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221184" w:rsidRPr="00221184" w:rsidRDefault="00221184" w:rsidP="00221184">
            <w:r w:rsidRPr="00221184">
              <w:t>Изчерпателно за всички единици</w:t>
            </w:r>
          </w:p>
        </w:tc>
      </w:tr>
    </w:tbl>
    <w:p w:rsidR="00002288" w:rsidRDefault="00002288"/>
    <w:sectPr w:rsidR="00002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73781"/>
    <w:multiLevelType w:val="multilevel"/>
    <w:tmpl w:val="EF1C8E28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770"/>
        </w:tabs>
        <w:ind w:left="432" w:hanging="432"/>
      </w:pPr>
      <w:rPr>
        <w:rFonts w:ascii="Verdana" w:hAnsi="Verdana" w:cs="Arial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84"/>
    <w:rsid w:val="00002288"/>
    <w:rsid w:val="00221184"/>
    <w:rsid w:val="007B14B6"/>
    <w:rsid w:val="00995FFF"/>
    <w:rsid w:val="00BF44B9"/>
    <w:rsid w:val="00D2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995FFF"/>
    <w:pPr>
      <w:spacing w:line="276" w:lineRule="auto"/>
    </w:pPr>
    <w:rPr>
      <w:rFonts w:ascii="Verdana" w:hAnsi="Verdana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5FFF"/>
    <w:pPr>
      <w:keepNext/>
      <w:keepLines/>
      <w:spacing w:before="480"/>
      <w:outlineLvl w:val="0"/>
    </w:pPr>
    <w:rPr>
      <w:rFonts w:ascii="Cambria" w:eastAsia="Malgun Gothic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95FFF"/>
    <w:pPr>
      <w:keepNext/>
      <w:suppressAutoHyphens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24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995FFF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5F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5FFF"/>
    <w:rPr>
      <w:rFonts w:ascii="Cambria" w:eastAsia="Malgun Gothic" w:hAnsi="Cambria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95FFF"/>
    <w:rPr>
      <w:rFonts w:eastAsia="Times New Roman"/>
      <w:b/>
      <w:bCs/>
      <w:iCs/>
      <w:sz w:val="24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995FF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995FFF"/>
    <w:rPr>
      <w:rFonts w:ascii="Calibri" w:hAnsi="Calibri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995FFF"/>
    <w:rPr>
      <w:rFonts w:eastAsia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995FFF"/>
    <w:pPr>
      <w:numPr>
        <w:ilvl w:val="1"/>
      </w:numPr>
    </w:pPr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995FFF"/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rsid w:val="00995FFF"/>
    <w:pPr>
      <w:ind w:left="720"/>
      <w:contextualSpacing/>
    </w:pPr>
    <w:rPr>
      <w:rFonts w:eastAsia="Times New Roman"/>
    </w:rPr>
  </w:style>
  <w:style w:type="character" w:styleId="SubtleEmphasis">
    <w:name w:val="Subtle Emphasis"/>
    <w:qFormat/>
    <w:rsid w:val="00995FFF"/>
    <w:rPr>
      <w:rFonts w:cs="Times New Roman"/>
      <w:i/>
      <w:iCs/>
      <w:color w:val="808080"/>
    </w:rPr>
  </w:style>
  <w:style w:type="character" w:styleId="SubtleReference">
    <w:name w:val="Subtle Reference"/>
    <w:qFormat/>
    <w:rsid w:val="00995FFF"/>
    <w:rPr>
      <w:rFonts w:cs="Times New Roman"/>
      <w:smallCaps/>
      <w:color w:val="C0504D"/>
      <w:u w:val="single"/>
    </w:rPr>
  </w:style>
  <w:style w:type="character" w:styleId="BookTitle">
    <w:name w:val="Book Title"/>
    <w:qFormat/>
    <w:rsid w:val="00995FF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qFormat/>
    <w:rsid w:val="00995FFF"/>
    <w:pPr>
      <w:outlineLvl w:val="9"/>
    </w:pPr>
    <w:rPr>
      <w:rFonts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2211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995FFF"/>
    <w:pPr>
      <w:spacing w:line="276" w:lineRule="auto"/>
    </w:pPr>
    <w:rPr>
      <w:rFonts w:ascii="Verdana" w:hAnsi="Verdana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5FFF"/>
    <w:pPr>
      <w:keepNext/>
      <w:keepLines/>
      <w:spacing w:before="480"/>
      <w:outlineLvl w:val="0"/>
    </w:pPr>
    <w:rPr>
      <w:rFonts w:ascii="Cambria" w:eastAsia="Malgun Gothic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95FFF"/>
    <w:pPr>
      <w:keepNext/>
      <w:suppressAutoHyphens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24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995FFF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5F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5FFF"/>
    <w:rPr>
      <w:rFonts w:ascii="Cambria" w:eastAsia="Malgun Gothic" w:hAnsi="Cambria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95FFF"/>
    <w:rPr>
      <w:rFonts w:eastAsia="Times New Roman"/>
      <w:b/>
      <w:bCs/>
      <w:iCs/>
      <w:sz w:val="24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995FF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995FFF"/>
    <w:rPr>
      <w:rFonts w:ascii="Calibri" w:hAnsi="Calibri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995FFF"/>
    <w:rPr>
      <w:rFonts w:eastAsia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995FFF"/>
    <w:pPr>
      <w:numPr>
        <w:ilvl w:val="1"/>
      </w:numPr>
    </w:pPr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995FFF"/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rsid w:val="00995FFF"/>
    <w:pPr>
      <w:ind w:left="720"/>
      <w:contextualSpacing/>
    </w:pPr>
    <w:rPr>
      <w:rFonts w:eastAsia="Times New Roman"/>
    </w:rPr>
  </w:style>
  <w:style w:type="character" w:styleId="SubtleEmphasis">
    <w:name w:val="Subtle Emphasis"/>
    <w:qFormat/>
    <w:rsid w:val="00995FFF"/>
    <w:rPr>
      <w:rFonts w:cs="Times New Roman"/>
      <w:i/>
      <w:iCs/>
      <w:color w:val="808080"/>
    </w:rPr>
  </w:style>
  <w:style w:type="character" w:styleId="SubtleReference">
    <w:name w:val="Subtle Reference"/>
    <w:qFormat/>
    <w:rsid w:val="00995FFF"/>
    <w:rPr>
      <w:rFonts w:cs="Times New Roman"/>
      <w:smallCaps/>
      <w:color w:val="C0504D"/>
      <w:u w:val="single"/>
    </w:rPr>
  </w:style>
  <w:style w:type="character" w:styleId="BookTitle">
    <w:name w:val="Book Title"/>
    <w:qFormat/>
    <w:rsid w:val="00995FF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qFormat/>
    <w:rsid w:val="00995FFF"/>
    <w:pPr>
      <w:outlineLvl w:val="9"/>
    </w:pPr>
    <w:rPr>
      <w:rFonts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2211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56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96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1050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5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443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9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76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6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5371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1970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49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si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NSI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Antoniya Pacheva</dc:creator>
  <cp:lastModifiedBy>Antoniya Pacheva</cp:lastModifiedBy>
  <cp:revision>1</cp:revision>
  <dcterms:created xsi:type="dcterms:W3CDTF">2015-06-03T12:54:00Z</dcterms:created>
  <dcterms:modified xsi:type="dcterms:W3CDTF">2015-06-03T12:55:00Z</dcterms:modified>
</cp:coreProperties>
</file>